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DA22" w14:textId="77777777" w:rsidR="00455D0D" w:rsidRPr="007F4CC8" w:rsidRDefault="00455D0D" w:rsidP="00455D0D">
      <w:pPr>
        <w:pStyle w:val="Annexetitre"/>
        <w:rPr>
          <w:b w:val="0"/>
        </w:rPr>
      </w:pPr>
      <w:r>
        <w:t xml:space="preserve">BILAG X — Instrukser vedrørende offentliggørelse af oplysninger om kontracykliske kapitalbuffere</w:t>
      </w:r>
    </w:p>
    <w:p w14:paraId="01BBFD15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23E8C0F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Skema EU CCyB1 — Geografisk fordeling af krediteksponeringer, der er relevante for beregningen af den kontracykliske kapitalbuffer.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Fast format for kolonner, fleksibelt format for rækker.</w:t>
      </w:r>
      <w:r>
        <w:rPr>
          <w:sz w:val="24"/>
          <w:rFonts w:ascii="Times New Roman" w:hAnsi="Times New Roman"/>
        </w:rPr>
        <w:t xml:space="preserve"> </w:t>
      </w:r>
    </w:p>
    <w:p w14:paraId="3340396C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41E7C5B7" w14:textId="473FDA2B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440, litra a), i forordning (EU) nr. 575/2013 ("CRR")</w:t>
      </w:r>
      <w:r>
        <w:rPr>
          <w:rStyle w:val="FootnoteReference"/>
        </w:rPr>
        <w:footnoteReference w:id="1"/>
      </w:r>
      <w:r>
        <w:rPr>
          <w:sz w:val="24"/>
          <w:rFonts w:ascii="Times New Roman" w:hAnsi="Times New Roman"/>
        </w:rPr>
        <w:t xml:space="preserve">, ved at følge instrukserne i dette bilag til udfyldelse af skema EU CCyB1, som findes i bilag IX til EBA's IT-løsninger.</w:t>
      </w:r>
      <w:r>
        <w:rPr>
          <w:sz w:val="24"/>
          <w:rFonts w:ascii="Times New Roman" w:hAnsi="Times New Roman"/>
        </w:rPr>
        <w:t xml:space="preserve"> </w:t>
      </w:r>
    </w:p>
    <w:p w14:paraId="7398E361" w14:textId="77777777" w:rsidR="00455D0D" w:rsidRPr="00266A53" w:rsidRDefault="00455D0D" w:rsidP="00455D0D">
      <w:pPr>
        <w:pStyle w:val="ListParagraph"/>
        <w:numPr>
          <w:ilvl w:val="0"/>
          <w:numId w:val="2"/>
        </w:numPr>
        <w:spacing w:before="120" w:after="120"/>
        <w:ind w:left="360" w:hanging="357"/>
        <w:contextualSpacing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Anvendelsesområdet for skema EU CCyB1 er begrænset til krediteksponeringer, som er relevante for beregningen af den kontracykliske kapitalbuffer i overensstemmelse med artikel 140, stk. 4, i direktiv (EU) 2013/36</w:t>
      </w:r>
      <w:r>
        <w:rPr>
          <w:rStyle w:val="FootnoteReference"/>
          <w:rFonts w:eastAsia="Times New Roman"/>
        </w:rPr>
        <w:footnoteReference w:id="2"/>
      </w:r>
      <w:r>
        <w:rPr>
          <w:sz w:val="24"/>
          <w:rFonts w:ascii="Times New Roman" w:hAnsi="Times New Roman"/>
        </w:rPr>
        <w:t xml:space="preserve"> ("CRD").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A43BEBB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5801A4" w14:textId="77777777" w:rsidR="00455D0D" w:rsidRPr="007F4CC8" w:rsidRDefault="00455D0D" w:rsidP="00D819D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455D0D" w:rsidRPr="007F4CC8" w14:paraId="5753E80F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3F8D0B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B6BF2F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455D0D" w:rsidRPr="007F4CC8" w14:paraId="6D5018C1" w14:textId="77777777" w:rsidTr="00D819DE">
        <w:trPr>
          <w:trHeight w:val="4381"/>
        </w:trPr>
        <w:tc>
          <w:tcPr>
            <w:tcW w:w="1384" w:type="dxa"/>
          </w:tcPr>
          <w:p w14:paraId="48FA5F7D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010-01X</w:t>
            </w:r>
          </w:p>
        </w:tc>
        <w:tc>
          <w:tcPr>
            <w:tcW w:w="7655" w:type="dxa"/>
          </w:tcPr>
          <w:p w14:paraId="482E28A9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Opdeling efter land</w:t>
            </w:r>
          </w:p>
          <w:p w14:paraId="2DDAA49A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Liste over lande, hvori instituttet har krediteksponeringer, som er relevante for beregningen af den institutspecifikke kontracykliske kapitalbuffer i overensstemmelse med Kommissionens delegerede forordning (EU) nr. 1152/2014</w:t>
            </w:r>
            <w:r>
              <w:rPr>
                <w:rStyle w:val="FootnoteReference"/>
              </w:rPr>
              <w:footnoteReference w:id="3"/>
            </w:r>
            <w:r>
              <w:t xml:space="preserve">.</w:t>
            </w:r>
          </w:p>
          <w:p w14:paraId="37E96D2E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Antallet af rækker kan variere alt afhængigt af antallet af lande, hvor instituttet har de krediteksponeringer, der er relevante for beregningen af den kontracykliske buffer.</w:t>
            </w:r>
            <w:r>
              <w:t xml:space="preserve"> </w:t>
            </w:r>
            <w:r>
              <w:t xml:space="preserve">Institutterne skal nummerere rækker for hvert land fortløbende, begyndende med 010.</w:t>
            </w:r>
          </w:p>
          <w:p w14:paraId="110E5142" w14:textId="77777777" w:rsidR="00455D0D" w:rsidRPr="007F4CC8" w:rsidRDefault="00455D0D" w:rsidP="00D819DE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Hvis et instituts eksponeringer i handelsbeholdningen eller udenlandske krediteksponeringer udgør mindre end 2 % af dets samlede risikovægtede eksponeringer, kan instituttet vælge at henføre disse eksponeringer til sit hjemland, i overensstemmelse med Kommissionens delegerede forordning (EU) nr. 1152/2014.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Hvis eksponeringerne for hjemlandet omfatter eksponeringer fra andre lande, skal disse identificeres tydeligt i en fodnote til offentliggørelsesskemaet.</w:t>
            </w:r>
          </w:p>
        </w:tc>
      </w:tr>
      <w:tr w:rsidR="00455D0D" w:rsidRPr="007F4CC8" w14:paraId="2B7D044A" w14:textId="77777777" w:rsidTr="00D819DE">
        <w:trPr>
          <w:trHeight w:val="316"/>
        </w:trPr>
        <w:tc>
          <w:tcPr>
            <w:tcW w:w="1384" w:type="dxa"/>
          </w:tcPr>
          <w:p w14:paraId="34D2A4C4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</w:t>
            </w:r>
          </w:p>
        </w:tc>
        <w:tc>
          <w:tcPr>
            <w:tcW w:w="7655" w:type="dxa"/>
          </w:tcPr>
          <w:p w14:paraId="1007C866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 alt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59FB8B0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som beskrevet i overensstemmelse med forklaringen for kolonne a til m i dette skema.</w:t>
            </w:r>
          </w:p>
        </w:tc>
      </w:tr>
    </w:tbl>
    <w:p w14:paraId="761A683E" w14:textId="77777777" w:rsidR="00455D0D" w:rsidRPr="007F4CC8" w:rsidRDefault="00455D0D" w:rsidP="00455D0D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0EDEA811" w14:textId="77777777" w:rsidTr="00D819DE">
        <w:trPr>
          <w:trHeight w:val="238"/>
        </w:trPr>
        <w:tc>
          <w:tcPr>
            <w:tcW w:w="9039" w:type="dxa"/>
            <w:gridSpan w:val="2"/>
            <w:shd w:val="clear" w:color="auto" w:fill="D9D9D9" w:themeFill="background1" w:themeFillShade="D9"/>
          </w:tcPr>
          <w:p w14:paraId="6E1DF8CC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455D0D" w:rsidRPr="007F4CC8" w14:paraId="40DA12F8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EE254B1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BD7CCD7" w14:textId="77777777" w:rsidR="00455D0D" w:rsidRPr="007F4CC8" w:rsidRDefault="00455D0D" w:rsidP="00D819D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455D0D" w:rsidRPr="007F4CC8" w14:paraId="2CFE33C2" w14:textId="77777777" w:rsidTr="00D819DE">
        <w:trPr>
          <w:trHeight w:val="841"/>
        </w:trPr>
        <w:tc>
          <w:tcPr>
            <w:tcW w:w="1384" w:type="dxa"/>
          </w:tcPr>
          <w:p w14:paraId="09169D2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43976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Eksponeringsværdi af generelle krediteksponeringer efter standardmetoden</w:t>
            </w:r>
          </w:p>
          <w:p w14:paraId="217A685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Eksponeringsværdien af relevante krediteksponeringer bestemt i overensstemmelse med artikel 140, stk. 4, litra a), i CRD og artikel 111 i CRR.</w:t>
            </w:r>
          </w:p>
          <w:p w14:paraId="7001526D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Eksponeringsværdien af relevante krediteksponeringer bestemt i overensstemmelse med artikel 140, stk. 4, litra c), i CRD og artikel 248, litra a) og c), i CRR medtages ikke her, men i kolonne e i dette skema.</w:t>
            </w:r>
          </w:p>
          <w:p w14:paraId="7DC41FB9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Den geografiske opdeling foretages i overensstemmelse med Kommissionens delegerede forordning (EU) 1152/2014.</w:t>
            </w:r>
            <w:r>
              <w:t xml:space="preserve"> </w:t>
            </w:r>
          </w:p>
          <w:p w14:paraId="6801ED6C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Række 020 (i alt):</w:t>
            </w:r>
            <w:r>
              <w:t xml:space="preserve"> </w:t>
            </w:r>
            <w:r>
              <w:t xml:space="preserve">Summen af alle relevante krediteksponeringer bestemmes i overensstemmelse med artikel 140, stk. 4, litra a), i CRD og artikel 111 i CRR.</w:t>
            </w:r>
          </w:p>
        </w:tc>
      </w:tr>
      <w:tr w:rsidR="00455D0D" w:rsidRPr="007F4CC8" w14:paraId="3E403FD1" w14:textId="77777777" w:rsidTr="00D819DE">
        <w:trPr>
          <w:trHeight w:val="841"/>
        </w:trPr>
        <w:tc>
          <w:tcPr>
            <w:tcW w:w="1384" w:type="dxa"/>
          </w:tcPr>
          <w:p w14:paraId="2F14660E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b</w:t>
            </w:r>
          </w:p>
        </w:tc>
        <w:tc>
          <w:tcPr>
            <w:tcW w:w="7655" w:type="dxa"/>
          </w:tcPr>
          <w:p w14:paraId="3C9BF2F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Eksponeringsværdi af generelle krediteksponeringer efter IRB-metoden</w:t>
            </w:r>
          </w:p>
          <w:p w14:paraId="45C5ADD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Eksponeringsværdien af relevante krediteksponeringer bestemt i overensstemmelse med artikel 140, stk. 4, litra a), i CRD og artikel 166, 167 og 168 i CRR.</w:t>
            </w:r>
          </w:p>
          <w:p w14:paraId="4BAA504B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Eksponeringsværdien af relevante krediteksponeringer bestemt i overensstemmelse med artikel 140, stk. 4, litra c), i CRD og artikel 248, litra a) og c), i CRR medtages ikke her, men i kolonne e i dette skema.</w:t>
            </w:r>
          </w:p>
          <w:p w14:paraId="5FD7228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geografiske opdeling foretages i overensstemmelse med Kommissionens delegerede forordning (EU) 1152/2014.</w:t>
            </w:r>
          </w:p>
          <w:p w14:paraId="5B53F08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relevante krediteksponeringer bestemmes i overensstemmelse med artikel 140, stk. 4, litra a), i CRD og artikel 166, 167 og 168 i CRR.</w:t>
            </w:r>
          </w:p>
        </w:tc>
      </w:tr>
      <w:tr w:rsidR="00455D0D" w:rsidRPr="007F4CC8" w14:paraId="2FD82798" w14:textId="77777777" w:rsidTr="00D819DE">
        <w:trPr>
          <w:trHeight w:val="316"/>
        </w:trPr>
        <w:tc>
          <w:tcPr>
            <w:tcW w:w="1384" w:type="dxa"/>
          </w:tcPr>
          <w:p w14:paraId="41DD12A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</w:tcPr>
          <w:p w14:paraId="5921C02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Sum af lange og korte positioner af eksponeringer i handelsbeholdningen for standardmetoden</w:t>
            </w:r>
          </w:p>
          <w:p w14:paraId="7ED55B1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Summen af lange og korte positioner for relevante krediteksponeringer bestemt i overensstemmelse med artikel 140, stk. 4, litra b), i CRD og beregnet som summen af lange og korte positioner bestemt i overensstemmelse med artikel 327 i CRR.</w:t>
            </w:r>
          </w:p>
          <w:p w14:paraId="5A13EF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geografiske opdeling foretages i overensstemmelse med Kommissionens delegerede forordning (EU) 1152/2014.</w:t>
            </w:r>
          </w:p>
          <w:p w14:paraId="49E9F7E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lange og korte positioner for relevante krediteksponeringer bestemmes i overensstemmelse med artikel 140, stk. 4, litra b), i CRD, beregnet som summen af lange og korte positioner bestemt i overensstemmelse med artikel 327 i CRR.</w:t>
            </w:r>
          </w:p>
        </w:tc>
      </w:tr>
      <w:tr w:rsidR="00455D0D" w:rsidRPr="007F4CC8" w14:paraId="6BD777EC" w14:textId="77777777" w:rsidTr="00D819DE">
        <w:trPr>
          <w:trHeight w:val="316"/>
        </w:trPr>
        <w:tc>
          <w:tcPr>
            <w:tcW w:w="1384" w:type="dxa"/>
          </w:tcPr>
          <w:p w14:paraId="1273C16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</w:t>
            </w:r>
          </w:p>
        </w:tc>
        <w:tc>
          <w:tcPr>
            <w:tcW w:w="7655" w:type="dxa"/>
          </w:tcPr>
          <w:p w14:paraId="7DCFFF7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Værdi af eksponeringer i handelsbeholdningen for interne modeller</w:t>
            </w:r>
          </w:p>
          <w:p w14:paraId="2F891B2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Summen af følgende:</w:t>
            </w:r>
          </w:p>
          <w:p w14:paraId="39E4732D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dagsværdien af kontantpositioner, der repræsenterer relevante krediteksponeringer, bestemt i overensstemmelse med artikel 140, stk. 4, litra b), i CRD og artikel 104 i CRR</w:t>
            </w:r>
          </w:p>
          <w:p w14:paraId="0C23596C" w14:textId="77777777" w:rsidR="00455D0D" w:rsidRPr="007F4CC8" w:rsidRDefault="00455D0D" w:rsidP="00455D0D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sz w:val="24"/>
                <w:szCs w:val="24"/>
                <w:rFonts w:ascii="Times New Roman" w:eastAsia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notionelle værdi af derivater, der repræsenterer relevante krediteksponeringer, bestemt i overensstemmelse med artikel 140, stk. 4, litra b), i CRD.</w:t>
            </w:r>
          </w:p>
          <w:p w14:paraId="432A301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geografiske opdeling foretages i overensstemmelse med Kommissionens delegerede forordning (EU) 1152/2014.</w:t>
            </w:r>
          </w:p>
          <w:p w14:paraId="4482DFF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dagsværdien af alle kontantpositioner, der repræsenterer relevante krediteksponeringer, skal bestemmes i overensstemmelse med artikel 140, stk. 4, litra b), og artikel 104 i CRR, og summen af den notionelle værdi af alle derivater, der repræsenterer relevante krediteksponeringer, skal bestemmes i overensstemmelse med artikel 140, stk. 4, litra b), i CRD.</w:t>
            </w:r>
          </w:p>
        </w:tc>
      </w:tr>
      <w:tr w:rsidR="00455D0D" w:rsidRPr="007F4CC8" w14:paraId="0B1D7D40" w14:textId="77777777" w:rsidTr="00D819DE">
        <w:trPr>
          <w:trHeight w:val="316"/>
        </w:trPr>
        <w:tc>
          <w:tcPr>
            <w:tcW w:w="1384" w:type="dxa"/>
          </w:tcPr>
          <w:p w14:paraId="44208D7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</w:t>
            </w:r>
          </w:p>
        </w:tc>
        <w:tc>
          <w:tcPr>
            <w:tcW w:w="7655" w:type="dxa"/>
          </w:tcPr>
          <w:p w14:paraId="2FE034C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Securitiseringseksponeringer — Værdi af eksponeringer uden for handelsbeholdningen</w:t>
            </w:r>
          </w:p>
          <w:p w14:paraId="475647C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Eksponeringsværdien af relevante krediteksponeringer bestemt i overensstemmelse med artikel 140, stk. 4, litra c), i CRD og artikel 248, litra a) og c), i CRR.</w:t>
            </w:r>
          </w:p>
          <w:p w14:paraId="540C9D0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geografiske opdeling foretages i overensstemmelse med Kommissionens delegerede forordning (EU) 1152/2014.</w:t>
            </w:r>
          </w:p>
          <w:p w14:paraId="02F1A39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relevante krediteksponeringer bestemmes i overensstemmelse med artikel 140, stk. 4, litra c), i CRD og artikel 248, litra a) og c), i CRR.</w:t>
            </w:r>
          </w:p>
        </w:tc>
      </w:tr>
      <w:tr w:rsidR="00455D0D" w:rsidRPr="007F4CC8" w14:paraId="1BCFEC03" w14:textId="77777777" w:rsidTr="00D819DE">
        <w:trPr>
          <w:trHeight w:val="695"/>
        </w:trPr>
        <w:tc>
          <w:tcPr>
            <w:tcW w:w="1384" w:type="dxa"/>
          </w:tcPr>
          <w:p w14:paraId="055AA5DF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</w:t>
            </w:r>
          </w:p>
        </w:tc>
        <w:tc>
          <w:tcPr>
            <w:tcW w:w="7655" w:type="dxa"/>
          </w:tcPr>
          <w:p w14:paraId="019A072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Eksponeringsværdi i alt</w:t>
            </w:r>
          </w:p>
          <w:p w14:paraId="0D11927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Summen af beløbene i kolonne a, b, c, d og e i dette skema.</w:t>
            </w:r>
          </w:p>
          <w:p w14:paraId="762C47E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relevante krediteksponeringer bestemmes i overensstemmelse med artikel 140, stk. 4, i CRD.</w:t>
            </w:r>
          </w:p>
        </w:tc>
      </w:tr>
      <w:tr w:rsidR="00455D0D" w:rsidRPr="007F4CC8" w14:paraId="133835DF" w14:textId="77777777" w:rsidTr="00D819DE">
        <w:trPr>
          <w:trHeight w:val="695"/>
        </w:trPr>
        <w:tc>
          <w:tcPr>
            <w:tcW w:w="1384" w:type="dxa"/>
          </w:tcPr>
          <w:p w14:paraId="129DFE2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</w:t>
            </w:r>
          </w:p>
        </w:tc>
        <w:tc>
          <w:tcPr>
            <w:tcW w:w="7655" w:type="dxa"/>
          </w:tcPr>
          <w:p w14:paraId="522B76C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Kapitalgrundlagskrav — Relevante krediteksponeringer — Kreditrisiko</w:t>
            </w:r>
          </w:p>
          <w:p w14:paraId="6877B57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Kapitalgrundlagskrav for relevante krediteksponeringer i det pågældende land, bestemt i overensstemmelse med artikel 140, stk. 4, litra a), i CRD og tredje del, afsnit II, i CRR, og under hensyntagen til kapitalgrundlagskrav knyttet til eventuelle landespecifikke justeringer af risikovægte i henhold til artikel 458 i CRR.</w:t>
            </w:r>
          </w:p>
          <w:p w14:paraId="537A3B0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kapitalgrundlagskrav for relevante krediteksponeringer bestemmes i overensstemmelse med artikel 140, stk. 4, litra a), i CRD og tredje del, afsnit II, i CRR.</w:t>
            </w:r>
          </w:p>
        </w:tc>
      </w:tr>
      <w:tr w:rsidR="00455D0D" w:rsidRPr="007F4CC8" w14:paraId="6FF64630" w14:textId="77777777" w:rsidTr="00D819DE">
        <w:trPr>
          <w:trHeight w:val="695"/>
        </w:trPr>
        <w:tc>
          <w:tcPr>
            <w:tcW w:w="1384" w:type="dxa"/>
          </w:tcPr>
          <w:p w14:paraId="6E775ED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</w:t>
            </w:r>
          </w:p>
        </w:tc>
        <w:tc>
          <w:tcPr>
            <w:tcW w:w="7655" w:type="dxa"/>
          </w:tcPr>
          <w:p w14:paraId="747D313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Kapitalgrundlagskrav — Relevante krediteksponeringer — Markedsrisiko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1D71615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Kapitalgrundlagskrav for relevante krediteksponeringer i det pågældende land, bestemt i overensstemmelse med artikel 140, stk. 4, litra b), i CRD og tredje del, afsnit IV, kapitel 2, i CRR for specifik risiko eller i overensstemmelse med tredje del, afsnit IV, kapitel 5, i CRR for forøget misligholdelses- og migreringsrisiko.</w:t>
            </w:r>
          </w:p>
          <w:p w14:paraId="3376CF2A" w14:textId="77777777" w:rsidR="00455D0D" w:rsidRPr="007F4CC8" w:rsidRDefault="00455D0D" w:rsidP="00D819DE">
            <w:pPr>
              <w:pStyle w:val="Fait"/>
              <w:spacing w:after="120"/>
            </w:pPr>
            <w:r>
              <w:t xml:space="preserve">Række 020 (i alt):</w:t>
            </w:r>
            <w:r>
              <w:t xml:space="preserve"> </w:t>
            </w:r>
            <w:r>
              <w:t xml:space="preserve">Summen af alle kapitalgrundlagskrav for relevante krediteksponeringer bestemmes i overensstemmelse med artikel 140, stk. 4, litra b), i CRD og tredje del, afsnit IV, kapitel 2, i CRR for specifik risiko eller tredje del, afsnit IV, kapitel 5, i CRR for forøget misligholdelses- og migreringsrisiko.</w:t>
            </w:r>
          </w:p>
        </w:tc>
      </w:tr>
      <w:tr w:rsidR="00455D0D" w:rsidRPr="007F4CC8" w14:paraId="091E5047" w14:textId="77777777" w:rsidTr="00D819DE">
        <w:trPr>
          <w:trHeight w:val="695"/>
        </w:trPr>
        <w:tc>
          <w:tcPr>
            <w:tcW w:w="1384" w:type="dxa"/>
          </w:tcPr>
          <w:p w14:paraId="55EF9EAA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</w:t>
            </w:r>
          </w:p>
        </w:tc>
        <w:tc>
          <w:tcPr>
            <w:tcW w:w="7655" w:type="dxa"/>
          </w:tcPr>
          <w:p w14:paraId="64A6CA14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Kapitalgrundlagskrav — Relevante krediteksponeringer — Securitiseringspositioner uden for handelsbeholdningen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DA357C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Kapitalgrundlagskrav for relevante krediteksponeringer i det pågældende land, bestemt i overensstemmelse med artikel 140, stk. 4, litra c), i CRD og tredje del, afsnit II, kapitel 5, i CRR.</w:t>
            </w:r>
          </w:p>
          <w:p w14:paraId="2E6C3AF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kapitalgrundlagskrav for relevante krediteksponeringer bestemmes i overensstemmelse med artikel 140, stk. 4, litra c), i CRD og tredje del, afsnit II, kapitel 5, i CRR.</w:t>
            </w:r>
          </w:p>
        </w:tc>
      </w:tr>
      <w:tr w:rsidR="00455D0D" w:rsidRPr="007F4CC8" w14:paraId="1B31BDF8" w14:textId="77777777" w:rsidTr="00D819DE">
        <w:trPr>
          <w:trHeight w:val="695"/>
        </w:trPr>
        <w:tc>
          <w:tcPr>
            <w:tcW w:w="1384" w:type="dxa"/>
          </w:tcPr>
          <w:p w14:paraId="6AFA58A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</w:t>
            </w:r>
          </w:p>
        </w:tc>
        <w:tc>
          <w:tcPr>
            <w:tcW w:w="7655" w:type="dxa"/>
          </w:tcPr>
          <w:p w14:paraId="21280C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Kapitalgrundlagskrav - I alt</w:t>
            </w:r>
          </w:p>
          <w:p w14:paraId="1885EA73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Summen af beløbene i kolonne g, h og i i dette skema.</w:t>
            </w:r>
          </w:p>
          <w:p w14:paraId="647FF04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kapitalgrundlagskrav for relevante krediteksponeringer bestemmes i overensstemmelse med artikel 140, stk. 4, i CRD.</w:t>
            </w:r>
          </w:p>
        </w:tc>
      </w:tr>
      <w:tr w:rsidR="00455D0D" w:rsidRPr="007F4CC8" w14:paraId="53136553" w14:textId="77777777" w:rsidTr="00D819DE">
        <w:trPr>
          <w:trHeight w:val="695"/>
        </w:trPr>
        <w:tc>
          <w:tcPr>
            <w:tcW w:w="1384" w:type="dxa"/>
          </w:tcPr>
          <w:p w14:paraId="5E519554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</w:t>
            </w:r>
          </w:p>
        </w:tc>
        <w:tc>
          <w:tcPr>
            <w:tcW w:w="7655" w:type="dxa"/>
          </w:tcPr>
          <w:p w14:paraId="7ADAA7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Risikovægtede eksponeringer</w:t>
            </w:r>
          </w:p>
          <w:p w14:paraId="314E7BF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Risikovægtede eksponeringer for relevante krediteksponeringer, bestemt i overensstemmelse med artikel 140, stk. 4, i CRD, opdelt efter land, under hensyntagen til eventuelle landespecifikke justeringer af risikovægte fastsat i overensstemmelse med artikel 458 i CRR.</w:t>
            </w:r>
          </w:p>
          <w:p w14:paraId="2AF6A48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Række 020 (i alt):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Summen af alle risikovægtede eksponeringer for relevante krediteksponeringer bestemmes i overensstemmelse med artikel 140, stk. 4, i CRD.</w:t>
            </w:r>
          </w:p>
        </w:tc>
      </w:tr>
      <w:tr w:rsidR="00455D0D" w:rsidRPr="007F4CC8" w14:paraId="69E793ED" w14:textId="77777777" w:rsidTr="00D819DE">
        <w:trPr>
          <w:trHeight w:val="695"/>
        </w:trPr>
        <w:tc>
          <w:tcPr>
            <w:tcW w:w="1384" w:type="dxa"/>
          </w:tcPr>
          <w:p w14:paraId="2A231285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</w:t>
            </w:r>
          </w:p>
        </w:tc>
        <w:tc>
          <w:tcPr>
            <w:tcW w:w="7655" w:type="dxa"/>
          </w:tcPr>
          <w:p w14:paraId="1E8A4B57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Vægte for kapitalgrundlagskrav (%)</w:t>
            </w:r>
          </w:p>
          <w:p w14:paraId="3A7905F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vægt, som tildeles den kontracykliske buffersats i hvert land, beregnet som det samlede kapitalgrundlagskrav, som vedrører de relevante krediteksponeringer i det pågældende land (række 01X, kolonne j i dette skema), og divideret med det samlede kapitalgrundlagskrav, som vedrører alle krediteksponeringer, der er relevante for beregningen af den kontracykliske buffer i overensstemmelse med artikel 140, stk. 4, i CRD (række 020, kolonne j, i dette skema).</w:t>
            </w:r>
          </w:p>
          <w:p w14:paraId="4FE6F23B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værdi anføres som en procentdel med 2 decimaler.</w:t>
            </w:r>
          </w:p>
        </w:tc>
      </w:tr>
      <w:tr w:rsidR="00455D0D" w:rsidRPr="007F4CC8" w14:paraId="78993D09" w14:textId="77777777" w:rsidTr="00D819DE">
        <w:trPr>
          <w:trHeight w:val="695"/>
        </w:trPr>
        <w:tc>
          <w:tcPr>
            <w:tcW w:w="1384" w:type="dxa"/>
          </w:tcPr>
          <w:p w14:paraId="7422EAC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</w:t>
            </w:r>
          </w:p>
        </w:tc>
        <w:tc>
          <w:tcPr>
            <w:tcW w:w="7655" w:type="dxa"/>
          </w:tcPr>
          <w:p w14:paraId="7A959B8C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Kontracyklisk kapitalbuffersats (%)</w:t>
            </w:r>
          </w:p>
          <w:p w14:paraId="587D402C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kontracykliske buffersats, der finder anvendelse i det pågældende land og er fastsat i overensstemmelse med artikel 136, 137, 138 og 139 i CRD.</w:t>
            </w:r>
          </w:p>
          <w:p w14:paraId="5813AAA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kolonne omfatter ikke kontracykliske kapitalbuffersatser, der er fastsat, men endnu ikke finder anvendelse på tidspunktet for beregning af den institutspecifikke kontracykliske kapitalbuffer, som oplysningerne vedrører.</w:t>
            </w:r>
          </w:p>
          <w:p w14:paraId="0585C9BE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værdi er anført som en procentdel med samme antal decimaler som fastsat i overensstemmelse med artikel 136, 137, 138 og 139 i CRD.</w:t>
            </w:r>
          </w:p>
        </w:tc>
      </w:tr>
    </w:tbl>
    <w:p w14:paraId="29C77942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p w14:paraId="64839D89" w14:textId="77777777" w:rsidR="00455D0D" w:rsidRPr="007F4CC8" w:rsidRDefault="00455D0D" w:rsidP="00455D0D">
      <w:pPr>
        <w:autoSpaceDE w:val="0"/>
        <w:autoSpaceDN w:val="0"/>
        <w:adjustRightInd w:val="0"/>
        <w:jc w:val="both"/>
        <w:rPr>
          <w:b/>
          <w:sz w:val="24"/>
          <w:rFonts w:ascii="Times New Roman" w:hAnsi="Times New Roman" w:cs="Times New Roman"/>
        </w:rPr>
      </w:pPr>
      <w:r>
        <w:rPr>
          <w:b/>
          <w:sz w:val="24"/>
          <w:rFonts w:ascii="Times New Roman" w:hAnsi="Times New Roman"/>
        </w:rPr>
        <w:t xml:space="preserve">Skema EU CCyB2 — Størrelsen af den institutspecifikke kontracykliske kapitalbuffer</w:t>
      </w:r>
    </w:p>
    <w:p w14:paraId="283F7254" w14:textId="77777777" w:rsidR="00455D0D" w:rsidRPr="007F4CC8" w:rsidRDefault="00455D0D" w:rsidP="00455D0D">
      <w:pPr>
        <w:pStyle w:val="ListParagraph"/>
        <w:numPr>
          <w:ilvl w:val="0"/>
          <w:numId w:val="2"/>
        </w:numPr>
        <w:spacing w:before="120" w:after="120"/>
        <w:ind w:left="425" w:hanging="357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Institutterne offentliggør de oplysninger, som er omhandlet i artikel 440, litra b), i CRR, ved at følge instrukserne i dette bilag til udfyldelse af skema EU CCyB2, som findes i bilag IX til nærværende gennemførelsesforordning.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360D0819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1C706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455D0D" w:rsidRPr="007F4CC8" w14:paraId="658922CA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CFC758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Række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C35C310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455D0D" w:rsidRPr="007F4CC8" w14:paraId="32D19805" w14:textId="77777777" w:rsidTr="00D819DE">
        <w:trPr>
          <w:trHeight w:val="1055"/>
        </w:trPr>
        <w:tc>
          <w:tcPr>
            <w:tcW w:w="1384" w:type="dxa"/>
          </w:tcPr>
          <w:p w14:paraId="590881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1</w:t>
            </w:r>
          </w:p>
        </w:tc>
        <w:tc>
          <w:tcPr>
            <w:tcW w:w="7655" w:type="dxa"/>
          </w:tcPr>
          <w:p w14:paraId="365B8327" w14:textId="77777777" w:rsidR="00455D0D" w:rsidRPr="007F4CC8" w:rsidRDefault="00455D0D" w:rsidP="00D819DE">
            <w:pPr>
              <w:pStyle w:val="Applicationdirecte"/>
              <w:spacing w:before="120"/>
              <w:rPr>
                <w:b/>
              </w:rPr>
            </w:pPr>
            <w:r>
              <w:rPr>
                <w:b/>
              </w:rPr>
              <w:t xml:space="preserve">Samlet risikoeksponering</w:t>
            </w:r>
          </w:p>
          <w:p w14:paraId="6FC34F99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Samlet risikoeksponering beregnet i overensstemmelse med artikel 92, stk. 3, i CRR.</w:t>
            </w:r>
          </w:p>
        </w:tc>
      </w:tr>
      <w:tr w:rsidR="00455D0D" w:rsidRPr="007F4CC8" w14:paraId="768C2D66" w14:textId="77777777" w:rsidTr="00D819DE">
        <w:trPr>
          <w:trHeight w:val="316"/>
        </w:trPr>
        <w:tc>
          <w:tcPr>
            <w:tcW w:w="1384" w:type="dxa"/>
          </w:tcPr>
          <w:p w14:paraId="2DC1BFF9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7CEE8A38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Institutspecifik kontracyklisk kapitalbuffersats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39939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Institutspecifik kontracyklisk kapitalbuffersats bestemt i overensstemmelse med artikel 140, stk. 1, i CRD.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DFA41A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institutspecifikke kontracykliske kapitalbuffersats beregnes som det vægtede gennemsnit af de kontracykliske kapitalbuffersatser, der gælder i de lande, hvor instituttets relevante krediteksponeringer er beliggende, og offentliggøres i række 010.1 til 010.X i kolonne m i skema EU CCyB1.</w:t>
            </w:r>
          </w:p>
          <w:p w14:paraId="23A765A5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 vægt, der anvendes på den kontracykliske buffersats i hvert land, er andelen af kapitalgrundlagskrav i forhold til de samlede kapitalgrundlagskrav og findes i skema EU CCyB1, kolonne 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F32981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Denne værdi anføres som en procentdel med 2 decimaler.</w:t>
            </w:r>
          </w:p>
        </w:tc>
      </w:tr>
      <w:tr w:rsidR="00455D0D" w:rsidRPr="007F4CC8" w14:paraId="44E7A9FA" w14:textId="77777777" w:rsidTr="00D819DE">
        <w:trPr>
          <w:trHeight w:val="316"/>
        </w:trPr>
        <w:tc>
          <w:tcPr>
            <w:tcW w:w="1384" w:type="dxa"/>
          </w:tcPr>
          <w:p w14:paraId="7AB6A5B3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4BFFC9C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Krav til den institutspecifikke kontracykliske kapitalbuffer</w:t>
            </w:r>
          </w:p>
          <w:p w14:paraId="2EEC939D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Krav til den institutspecifikke kontracykliske kapitalbuffer beregnet som den institutspecifikke kontracykliske buffersats, som offentliggjort i række 2 i dette skema, og anvendt på det samlede risikoeksponeringsbeløb som offentliggjort i række 1 i dette skema.</w:t>
            </w:r>
          </w:p>
        </w:tc>
      </w:tr>
    </w:tbl>
    <w:p w14:paraId="0670C1A7" w14:textId="77777777" w:rsidR="00455D0D" w:rsidRPr="007F4CC8" w:rsidRDefault="00455D0D" w:rsidP="00455D0D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455D0D" w:rsidRPr="007F4CC8" w14:paraId="5C8A2212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C1D160" w14:textId="77777777" w:rsidR="00455D0D" w:rsidRPr="007F4CC8" w:rsidRDefault="00455D0D" w:rsidP="00D819DE">
            <w:pPr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Henvisninger til retsakter og instrukser</w:t>
            </w:r>
          </w:p>
        </w:tc>
      </w:tr>
      <w:tr w:rsidR="00455D0D" w:rsidRPr="007F4CC8" w14:paraId="3AE40F7E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A49F058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Kolonne nr.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419637B6" w14:textId="77777777" w:rsidR="00455D0D" w:rsidRPr="007F4CC8" w:rsidRDefault="00455D0D" w:rsidP="00D819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Forklaring</w:t>
            </w:r>
          </w:p>
        </w:tc>
      </w:tr>
      <w:tr w:rsidR="00455D0D" w:rsidRPr="007F4CC8" w14:paraId="6D043B5C" w14:textId="77777777" w:rsidTr="00D819DE">
        <w:trPr>
          <w:trHeight w:val="703"/>
        </w:trPr>
        <w:tc>
          <w:tcPr>
            <w:tcW w:w="1384" w:type="dxa"/>
          </w:tcPr>
          <w:p w14:paraId="5A332E76" w14:textId="77777777" w:rsidR="00455D0D" w:rsidRPr="007F4CC8" w:rsidRDefault="00455D0D" w:rsidP="00D819DE">
            <w:pPr>
              <w:pStyle w:val="Applicationdirecte"/>
              <w:spacing w:before="120"/>
            </w:pPr>
            <w:r>
              <w:t xml:space="preserve">a</w:t>
            </w:r>
          </w:p>
        </w:tc>
        <w:tc>
          <w:tcPr>
            <w:tcW w:w="7655" w:type="dxa"/>
          </w:tcPr>
          <w:p w14:paraId="788A4EF6" w14:textId="77777777" w:rsidR="00455D0D" w:rsidRPr="007F4CC8" w:rsidRDefault="00455D0D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color w:val="000000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Værdien som beskrevet i henhold til forklaringen for række 1 til 3 i dette skema.</w:t>
            </w:r>
          </w:p>
        </w:tc>
      </w:tr>
    </w:tbl>
    <w:p w14:paraId="56662C56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B986" w14:textId="77777777" w:rsidR="00DE3BED" w:rsidRDefault="00DE3BED" w:rsidP="00455D0D">
      <w:r>
        <w:separator/>
      </w:r>
    </w:p>
  </w:endnote>
  <w:endnote w:type="continuationSeparator" w:id="0">
    <w:p w14:paraId="318E4105" w14:textId="77777777" w:rsidR="00DE3BED" w:rsidRDefault="00DE3BED" w:rsidP="0045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4176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E8034C" w14:textId="77777777" w:rsidR="00455D0D" w:rsidRDefault="00455D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</w:p>
    </w:sdtContent>
  </w:sdt>
  <w:p w14:paraId="3FD3665B" w14:textId="77777777" w:rsidR="00455D0D" w:rsidRDefault="00455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C4D" w14:textId="77777777" w:rsidR="00DE3BED" w:rsidRDefault="00DE3BED" w:rsidP="00455D0D">
      <w:r>
        <w:separator/>
      </w:r>
    </w:p>
  </w:footnote>
  <w:footnote w:type="continuationSeparator" w:id="0">
    <w:p w14:paraId="72D34102" w14:textId="77777777" w:rsidR="00DE3BED" w:rsidRDefault="00DE3BED" w:rsidP="00455D0D">
      <w:r>
        <w:continuationSeparator/>
      </w:r>
    </w:p>
  </w:footnote>
  <w:footnote w:id="1">
    <w:p w14:paraId="424F9A4F" w14:textId="41D55D5F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Europa-Parlamentets og Rådets forordning (EU) nr. 575/2013 af 26. juni 2013 om tilsynsmæssige krav til kreditinstitutter og om ændring af forordning (EU) nr. 648/2012, som ændret ved (EU) 2024/1623 (</w:t>
      </w:r>
      <w:hyperlink r:id="rId1" w:history="1">
        <w:r>
          <w:rPr>
            <w:rStyle w:val="Hyperlink"/>
            <w:color w:val="800080"/>
          </w:rPr>
          <w:t xml:space="preserve">EUT L 176 af 27.6.2013, s. 1</w:t>
        </w:r>
      </w:hyperlink>
      <w:r>
        <w:t xml:space="preserve">).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Forordning - EU - 2024/1623 - DA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  <w:footnote w:id="2">
    <w:p w14:paraId="02DF96C7" w14:textId="697CF201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Europa-Parlamentets og Rådets direktiv 2013/36/EU af 26. juni 2013 om adgang til at udøve virksomhed som kreditinstitut og om tilsyn med kreditinstitutter, om ændring af direktiv 2002/87/EF og om ophævelse af direktiv 2006/48/EF og 2006/49/EF (EUT L 176 af 27.6.2013, s. 338).</w:t>
      </w:r>
    </w:p>
  </w:footnote>
  <w:footnote w:id="3">
    <w:p w14:paraId="56A80E1C" w14:textId="77777777" w:rsidR="00455D0D" w:rsidRPr="00222AAB" w:rsidRDefault="00455D0D" w:rsidP="00455D0D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ab/>
      </w:r>
      <w:r>
        <w:t xml:space="preserve">Kommissionens delegerede forordning (EU) nr. 1152/2014 af 4. juni 2014 om supplerende regler til Europa-Parlamentets og Rådets direktiv 2013/36/EU for så vidt angår reguleringsmæssige tekniske standarder vedrørende identifikationen af den geografiske beliggenhed af de relevante krediteksponeringer med henblik på beregning af institutspecifikke kontracykliske kapitalbuffersatser (EUT L 309 af 30.10.2014, s.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110C" w14:textId="302A6D63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66B32C67" wp14:editId="37755B9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07149112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5DDAC7" w14:textId="1B9EDF09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B32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305DDAC7" w14:textId="1B9EDF09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5223" w14:textId="311AC12A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6A713163" wp14:editId="0593711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451469576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30DF" w14:textId="79E7B8D2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A71316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2D2830DF" w14:textId="79E7B8D2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B230" w14:textId="56076649" w:rsidR="00B80E57" w:rsidRDefault="00B80E57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4EBD702" wp14:editId="28C21A7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89804955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46B1BF" w14:textId="5B1DD12A" w:rsidR="00B80E57" w:rsidRPr="00B80E57" w:rsidRDefault="00B80E57" w:rsidP="00B80E57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4EBD7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fill o:detectmouseclick="t"/>
              <v:textbox style="mso-fit-shape-to-text:t" inset="20pt,15pt,0,0">
                <w:txbxContent>
                  <w:p w14:paraId="4846B1BF" w14:textId="5B1DD12A" w:rsidR="00B80E57" w:rsidRPr="00B80E57" w:rsidRDefault="00B80E57" w:rsidP="00B80E57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41234">
    <w:abstractNumId w:val="0"/>
  </w:num>
  <w:num w:numId="2" w16cid:durableId="204937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B1793"/>
    <w:rsid w:val="00383B86"/>
    <w:rsid w:val="00455D0D"/>
    <w:rsid w:val="004E3F4D"/>
    <w:rsid w:val="0079468D"/>
    <w:rsid w:val="008B1793"/>
    <w:rsid w:val="00B80E57"/>
    <w:rsid w:val="00DE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EAB9"/>
  <w15:chartTrackingRefBased/>
  <w15:docId w15:val="{39071AB2-44A9-4C0E-9939-9ACAB36C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0D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455D0D"/>
    <w:pPr>
      <w:spacing w:before="80" w:line="200" w:lineRule="exact"/>
      <w:ind w:left="567" w:hanging="567"/>
      <w:jc w:val="both"/>
    </w:pPr>
    <w:rPr>
      <w:sz w:val="18"/>
      <w:szCs w:val="18"/>
      <w:lang w:val="da-DK"/>
    </w:rPr>
  </w:style>
  <w:style w:type="character" w:customStyle="1" w:styleId="FootnoteTextChar">
    <w:name w:val="Footnote Text Char"/>
    <w:basedOn w:val="DefaultParagraphFont"/>
    <w:link w:val="FootnoteText"/>
    <w:rsid w:val="00455D0D"/>
    <w:rPr>
      <w:rFonts w:eastAsiaTheme="minorEastAsia"/>
      <w:sz w:val="18"/>
      <w:szCs w:val="18"/>
      <w:lang w:val="da-DK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455D0D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455D0D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455D0D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455D0D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ait">
    <w:name w:val="Fait à"/>
    <w:basedOn w:val="Normal"/>
    <w:next w:val="Normal"/>
    <w:rsid w:val="00455D0D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455D0D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D0D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455D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5D0D"/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A/TXT/?uri=OJ:L_202401623" TargetMode="External"/><Relationship Id="rId1" Type="http://schemas.openxmlformats.org/officeDocument/2006/relationships/hyperlink" Target="https://eur-lex.europa.eu/legal-content/DA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B58ED-BF0D-4E9D-9620-AE856F131D27}"/>
</file>

<file path=customXml/itemProps2.xml><?xml version="1.0" encoding="utf-8"?>
<ds:datastoreItem xmlns:ds="http://schemas.openxmlformats.org/officeDocument/2006/customXml" ds:itemID="{9E7F0AA3-326E-4F3B-BD2B-609233EA85AC}"/>
</file>

<file path=customXml/itemProps3.xml><?xml version="1.0" encoding="utf-8"?>
<ds:datastoreItem xmlns:ds="http://schemas.openxmlformats.org/officeDocument/2006/customXml" ds:itemID="{99CF6368-6A26-4C54-A23C-1FCC424614D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1693</Words>
  <Characters>9026</Characters>
  <Application>Microsoft Office Word</Application>
  <DocSecurity>0</DocSecurity>
  <Lines>209</Lines>
  <Paragraphs>120</Paragraphs>
  <ScaleCrop>false</ScaleCrop>
  <Company>European Banking Authority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PETRE Gheorghe-Cristian (FISMA)</cp:lastModifiedBy>
  <cp:revision>4</cp:revision>
  <dcterms:created xsi:type="dcterms:W3CDTF">2021-03-11T11:56:00Z</dcterms:created>
  <dcterms:modified xsi:type="dcterms:W3CDTF">2024-09-26T14:43:00Z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35872615,124eb938,1ae8e108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2024-09-26T14:43:39Z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5a99a6ec-7d0f-4ccb-8b43-056eaab9821e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